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963" w:hanging="0"/>
        <w:rPr>
          <w:sz w:val="18"/>
          <w:szCs w:val="18"/>
        </w:rPr>
      </w:pPr>
      <w:r>
        <w:rPr>
          <w:b/>
          <w:bCs/>
          <w:sz w:val="18"/>
          <w:szCs w:val="18"/>
        </w:rPr>
        <w:t>УТВЕРЖДЕНО:</w:t>
      </w:r>
    </w:p>
    <w:p>
      <w:pPr>
        <w:pStyle w:val="Normal"/>
        <w:ind w:left="4963" w:hanging="0"/>
        <w:rPr>
          <w:sz w:val="18"/>
          <w:szCs w:val="18"/>
        </w:rPr>
      </w:pPr>
      <w:r>
        <w:rPr>
          <w:sz w:val="18"/>
          <w:szCs w:val="18"/>
        </w:rPr>
        <w:t>протоколом № 2 от 25.05.2023 заседания Комиссии</w:t>
      </w:r>
    </w:p>
    <w:p>
      <w:pPr>
        <w:pStyle w:val="Normal"/>
        <w:ind w:left="4963" w:hanging="0"/>
        <w:rPr>
          <w:sz w:val="18"/>
          <w:szCs w:val="18"/>
        </w:rPr>
      </w:pPr>
      <w:r>
        <w:rPr>
          <w:sz w:val="18"/>
          <w:szCs w:val="18"/>
        </w:rPr>
        <w:t>при Комитете но образованию по организации отдыха детей и их оздоровления</w:t>
      </w:r>
    </w:p>
    <w:p>
      <w:pPr>
        <w:pStyle w:val="Normal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Информационная памятка для родителей (законных представителей) детей-инвалидов с заболеванием «сахарный диабет», направляемых на отдых и оздоровление в ДОК «Зеленый огонек».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(в дополнение к Памятке для родителей и сопровождающих лиц)</w:t>
      </w:r>
    </w:p>
    <w:p>
      <w:pPr>
        <w:pStyle w:val="Normal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39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*Условия для организации целевых заездов в ДОК «Зеленый огонек» детей-инвалидов с заболеванием «сахарный диабет» с сопровождающими их лицами определены в рамках деятельности Межведомственной комиссии</w:t>
        <w:br/>
        <w:t>Санкт-Петербурга по организации отдыха и оздоровления детей при участии специалистов Комитета</w:t>
        <w:br/>
        <w:t>по здравоохранению, Комитета по образованию, Управления социального питания, Городского многопрофильного клинического центра им. К.А. Раухфуса.</w:t>
      </w:r>
    </w:p>
    <w:p>
      <w:pPr>
        <w:pStyle w:val="Normal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45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*Дополнительным медицинским документом (к справке по форме 079/у) для приема детей-инвалидов</w:t>
        <w:br/>
        <w:t xml:space="preserve">с заболеванием «сахарный диабет» в ДОК «Зеленый огонек» является справка (медицинское заключение) детского врача-эндокринолога с рекомендациями на период пребывания ребенка в организации отдыха, с указанием контактного телефона детского врача-эндокринолога </w:t>
      </w:r>
      <w:r>
        <w:rPr>
          <w:i/>
          <w:iCs/>
          <w:color w:val="000000"/>
          <w:sz w:val="22"/>
          <w:szCs w:val="22"/>
        </w:rPr>
        <w:t>(медицинское заключение оформляется на бумажном носителе в произвольной форме, с проставлением штампа медицинской организации или на бланке медицинской организации (при наличии), подписывается врачом, заверяется личной печатью врача и печатью медицинской организации</w:t>
        <w:br/>
        <w:t>(при наличии).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Внимание! </w:t>
      </w:r>
      <w:r>
        <w:rPr>
          <w:color w:val="000000"/>
          <w:sz w:val="22"/>
          <w:szCs w:val="22"/>
        </w:rPr>
        <w:t>Решение о наличии или отсутствии противопоказаний для возможности пребывания ребенка-инвалида</w:t>
        <w:br/>
        <w:t xml:space="preserve">с заболеванием «сахарный диабет» в ДОК «Зеленый огонек» принимается детским врачом-эндокринологом медицинской организации. Хронические заболевания в стадии обострения и в стадии декомпенсации являются противопоказанием для направления (приема) ребенка в организацию отдыха детей и их оздоровления. </w:t>
      </w:r>
      <w:r>
        <w:rPr>
          <w:i/>
          <w:iCs/>
          <w:color w:val="000000"/>
          <w:sz w:val="22"/>
          <w:szCs w:val="22"/>
        </w:rPr>
        <w:t>(Показателем благоприятного течения и компенсации заболевания «сахарный диабет» за последние 3 месяца является так называемый гликированный гемоглобин (HbA1c), отражающий среднее содержание глюкозы в крови за длительный период. У ребенка с сахарным диабетом гликированный гемоглобин должен быть ниже 7,5%. Более высокий уровень гликированного гемоглобина (особенно выше 9,0%) свидетельствует о декомпенсации заболевания</w:t>
        <w:br/>
        <w:t>и об отсутствии должной коррекции инсулинотерапии.)</w:t>
      </w:r>
    </w:p>
    <w:p>
      <w:pPr>
        <w:pStyle w:val="Normal"/>
        <w:jc w:val="both"/>
        <w:rPr>
          <w:i/>
          <w:i/>
          <w:iCs/>
          <w:color w:val="000000"/>
          <w:sz w:val="8"/>
          <w:szCs w:val="8"/>
        </w:rPr>
      </w:pPr>
      <w:r>
        <w:rPr>
          <w:i/>
          <w:iCs/>
          <w:color w:val="000000"/>
          <w:sz w:val="8"/>
          <w:szCs w:val="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397"/>
        <w:jc w:val="both"/>
        <w:rPr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*</w:t>
      </w:r>
      <w:r>
        <w:rPr>
          <w:color w:val="000000"/>
          <w:sz w:val="22"/>
          <w:szCs w:val="22"/>
        </w:rPr>
        <w:t>Питание детей-инвалидов с заболеванием «сахарный диабет» на смене в ДОК «Зеленый огонек» организуется по меню, разработанному и утвержденному Управлением социального питания и Комитетом по здравоохранению.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39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Также на данной смене организуется питание по утвержденному меню для детей с заболеванием «целиакия»</w:t>
        <w:br/>
        <w:t xml:space="preserve"> </w:t>
      </w:r>
      <w:r>
        <w:rPr>
          <w:i/>
          <w:iCs/>
          <w:color w:val="000000"/>
          <w:sz w:val="22"/>
          <w:szCs w:val="22"/>
        </w:rPr>
        <w:t>(заболевания должны быть отражены в справке по форме 079/у</w:t>
      </w:r>
      <w:r>
        <w:rPr>
          <w:color w:val="000000"/>
          <w:sz w:val="22"/>
          <w:szCs w:val="22"/>
        </w:rPr>
        <w:t>).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Внимание!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  <w:shd w:fill="FFFFFF" w:val="clear"/>
        </w:rPr>
        <w:t>Предоставление индивидуального меню (во исполнение пункта 8.2 СанПиН 2.3/2.4.3590-20) возможно только в случае замены в одном из утвержденных меню одного вида пищевой продукции, блюд</w:t>
        <w:br/>
        <w:t xml:space="preserve">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</w:t>
      </w:r>
      <w:r>
        <w:rPr>
          <w:rFonts w:cs="Times New Roman"/>
          <w:i/>
          <w:iCs/>
          <w:color w:val="000000"/>
          <w:sz w:val="22"/>
          <w:szCs w:val="22"/>
          <w:shd w:fill="FFFFFF" w:val="clear"/>
        </w:rPr>
        <w:t>(должно быть отражено в справке по форме 079/у</w:t>
      </w:r>
      <w:r>
        <w:rPr>
          <w:rFonts w:cs="Times New Roman"/>
          <w:color w:val="000000"/>
          <w:sz w:val="22"/>
          <w:szCs w:val="22"/>
          <w:shd w:fill="FFFFFF" w:val="clear"/>
        </w:rPr>
        <w:t>).</w:t>
      </w:r>
    </w:p>
    <w:p>
      <w:pPr>
        <w:pStyle w:val="Normal"/>
        <w:jc w:val="both"/>
        <w:rPr>
          <w:rFonts w:cs="Times New Roman"/>
          <w:color w:val="000000"/>
          <w:sz w:val="8"/>
          <w:szCs w:val="8"/>
          <w:shd w:fill="FFFFFF" w:val="clear"/>
        </w:rPr>
      </w:pPr>
      <w:r>
        <w:rPr>
          <w:rFonts w:cs="Times New Roman"/>
          <w:color w:val="000000"/>
          <w:sz w:val="8"/>
          <w:szCs w:val="8"/>
          <w:shd w:fill="FFFFFF" w:val="clear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397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  <w:shd w:fill="FFFFFF" w:val="clear"/>
        </w:rPr>
        <w:t xml:space="preserve">*На смене предусмотрено дистанционное сопровождение сотрудников ДОК «Зеленый огонек» врачом-эндокринологом Городского многопрофильного клинического центра им. К.А. Раухфуса </w:t>
      </w:r>
      <w:r>
        <w:rPr>
          <w:rFonts w:cs="Times New Roman"/>
          <w:i/>
          <w:iCs/>
          <w:color w:val="000000"/>
          <w:sz w:val="22"/>
          <w:szCs w:val="22"/>
          <w:shd w:fill="FFFFFF" w:val="clear"/>
        </w:rPr>
        <w:t>(в соответствии с типом</w:t>
        <w:br/>
        <w:t>и видом учреждения (не медицинская организация) ДОК «Зеленый огонек» не может оказывать услуги по профилю «эндокринология»).</w:t>
      </w:r>
    </w:p>
    <w:p>
      <w:pPr>
        <w:pStyle w:val="Normal"/>
        <w:jc w:val="both"/>
        <w:rPr>
          <w:rFonts w:cs="Times New Roman"/>
          <w:i/>
          <w:i/>
          <w:iCs/>
          <w:color w:val="000000"/>
          <w:sz w:val="8"/>
          <w:szCs w:val="8"/>
          <w:shd w:fill="FFFFFF" w:val="clear"/>
        </w:rPr>
      </w:pPr>
      <w:r>
        <w:rPr>
          <w:rFonts w:cs="Times New Roman"/>
          <w:i/>
          <w:iCs/>
          <w:color w:val="000000"/>
          <w:sz w:val="8"/>
          <w:szCs w:val="8"/>
          <w:shd w:fill="FFFFFF" w:val="clear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397"/>
        <w:jc w:val="both"/>
        <w:rPr>
          <w:sz w:val="22"/>
          <w:szCs w:val="22"/>
        </w:rPr>
      </w:pPr>
      <w:r>
        <w:rPr>
          <w:rFonts w:cs="Times New Roman"/>
          <w:i/>
          <w:iCs/>
          <w:color w:val="000000"/>
          <w:sz w:val="22"/>
          <w:szCs w:val="22"/>
          <w:shd w:fill="FFFFFF" w:val="clear"/>
        </w:rPr>
        <w:t>*</w:t>
      </w:r>
      <w:r>
        <w:rPr>
          <w:rFonts w:cs="Times New Roman"/>
          <w:color w:val="000000"/>
          <w:sz w:val="22"/>
          <w:szCs w:val="22"/>
          <w:shd w:fill="FFFFFF" w:val="clear"/>
        </w:rPr>
        <w:t>Ответственность за контроль уровня глюкозы в крови ребенка-инвалида, в том числе и в ночное время) возлагается на сопровождающее его лицо. Все манипуляции, включая инъекции, осуществляются сопровождающим ребенка-инвалида лицом. В этой связи необходимо учесть следующее: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  <w:shd w:fill="FFFFFF" w:val="clear"/>
        </w:rPr>
        <w:tab/>
        <w:t>- сопровождающему лицу перед заездом рекомендуется пройти Школу диабета;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  <w:shd w:fill="FFFFFF" w:val="clear"/>
        </w:rPr>
        <w:tab/>
        <w:t>- у сопровождающего лица в наличии должны быть гаджеты для измерения уровня глюкозы в крови ребенка-инвалида, все необходимые расходные материалы (тест-полоски, ланцеты и пр.), инсулин для инъекций или помпы,</w:t>
        <w:br/>
        <w:t>а также препараты для оказания неотложной помощи при тяжелых гипогликемиях (ГлюкаГен КипоКит).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  <w:shd w:fill="FFFFFF" w:val="clear"/>
        </w:rPr>
        <w:t xml:space="preserve">Внимание! </w:t>
      </w:r>
      <w:r>
        <w:rPr>
          <w:rFonts w:cs="Times New Roman"/>
          <w:color w:val="000000"/>
          <w:sz w:val="22"/>
          <w:szCs w:val="22"/>
          <w:shd w:fill="FFFFFF" w:val="clear"/>
        </w:rPr>
        <w:t xml:space="preserve">В ДОК созданы условия для хранения лекарственных препаратов (в каждой жилой комнате установлен холодильник). </w:t>
      </w:r>
    </w:p>
    <w:p>
      <w:pPr>
        <w:pStyle w:val="Normal"/>
        <w:jc w:val="both"/>
        <w:rPr>
          <w:rFonts w:cs="Times New Roman"/>
          <w:color w:val="000000"/>
          <w:sz w:val="8"/>
          <w:szCs w:val="8"/>
          <w:shd w:fill="FFFFFF" w:val="clear"/>
        </w:rPr>
      </w:pPr>
      <w:r>
        <w:rPr>
          <w:rFonts w:cs="Times New Roman"/>
          <w:color w:val="000000"/>
          <w:sz w:val="8"/>
          <w:szCs w:val="8"/>
          <w:shd w:fill="FFFFFF" w:val="clear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454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  <w:shd w:fill="FFFFFF" w:val="clear"/>
        </w:rPr>
        <w:t>*Медицинскими работниками ДОК «Зеленый огонек» медицинская помощь на смене оказывается</w:t>
        <w:br/>
        <w:t>в соответствии с Порядком оказания медицинской помощи несовершеннолетним в период оздоровления</w:t>
        <w:br/>
        <w:t xml:space="preserve">и организованного отдыха, утвержденным приказом Минздрава России от 13.06.2018 № 327н, в виде первичной медико-санитарной и доврачебной помощи </w:t>
      </w:r>
      <w:r>
        <w:rPr>
          <w:rFonts w:cs="Times New Roman"/>
          <w:i/>
          <w:iCs/>
          <w:color w:val="000000"/>
          <w:sz w:val="22"/>
          <w:szCs w:val="22"/>
          <w:shd w:fill="FFFFFF" w:val="clear"/>
        </w:rPr>
        <w:t>(включая обеспечение контроля за соблюдением приема лекарственных препаратов для медицинского применения и специализированных продуктов лечебного питания).</w:t>
      </w:r>
    </w:p>
    <w:p>
      <w:pPr>
        <w:pStyle w:val="Normal"/>
        <w:jc w:val="both"/>
        <w:rPr>
          <w:rFonts w:cs="Times New Roman"/>
          <w:color w:val="000000"/>
          <w:sz w:val="8"/>
          <w:szCs w:val="8"/>
          <w:shd w:fill="FFFFFF" w:val="clear"/>
        </w:rPr>
      </w:pPr>
      <w:r>
        <w:rPr>
          <w:rFonts w:cs="Times New Roman"/>
          <w:color w:val="000000"/>
          <w:sz w:val="8"/>
          <w:szCs w:val="8"/>
          <w:shd w:fill="FFFFFF" w:val="clear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454"/>
        <w:jc w:val="both"/>
        <w:rPr>
          <w:highlight w:val="none"/>
          <w:shd w:fill="auto" w:val="clear"/>
        </w:rPr>
      </w:pPr>
      <w:r>
        <w:rPr>
          <w:rFonts w:cs="Times New Roman"/>
          <w:color w:val="000000"/>
          <w:sz w:val="22"/>
          <w:szCs w:val="22"/>
          <w:shd w:fill="auto" w:val="clear"/>
        </w:rPr>
        <w:t xml:space="preserve">* </w:t>
      </w:r>
      <w:r>
        <w:rPr>
          <w:rFonts w:cs="Times New Roman"/>
          <w:color w:val="000000"/>
          <w:sz w:val="22"/>
          <w:szCs w:val="22"/>
          <w:shd w:fill="auto" w:val="clear"/>
        </w:rPr>
        <w:t>Все сотрудники ДОК «Зеленый огонек», включая вожатых, прошли начальное обучение на тему «Дети</w:t>
        <w:br/>
        <w:t xml:space="preserve">с сахарным диабетом в организациях отдыха детей и их оздоровления» в  Городском многопрофильном клиническом центре им. К.А. Раухфуса </w:t>
      </w:r>
      <w:r>
        <w:rPr>
          <w:rFonts w:cs="Times New Roman"/>
          <w:color w:val="000000"/>
          <w:sz w:val="22"/>
          <w:szCs w:val="22"/>
          <w:shd w:fill="auto" w:val="clear"/>
        </w:rPr>
        <w:t>или</w:t>
      </w:r>
      <w:r>
        <w:rPr>
          <w:rFonts w:cs="Times New Roman"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ru-RU" w:eastAsia="en-US" w:bidi="ar-SA"/>
        </w:rPr>
        <w:t xml:space="preserve">от СПб диабетического общества </w:t>
      </w:r>
      <w:r>
        <w:rPr>
          <w:rFonts w:cs="Times New Roman"/>
          <w:color w:val="000000"/>
          <w:sz w:val="22"/>
          <w:szCs w:val="22"/>
          <w:shd w:fill="auto" w:val="clear"/>
        </w:rPr>
        <w:t>и при организации деятельности на смене будут руководствоваться информационными материалами «Дети с сахарным диабетом в организациях отдыха детей и их оздоровления», разработанными главным внештатным детским специалистом эндокринологом Минздрава России В.А. Петраковой и рекомендованными Департаментом медицинской помощи и службы родовспоможения Минздрава России.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rFonts w:cs="Times New Roman"/>
          <w:b/>
          <w:bCs/>
          <w:color w:val="000000"/>
          <w:sz w:val="22"/>
          <w:szCs w:val="22"/>
          <w:shd w:fill="auto" w:val="clear"/>
        </w:rPr>
        <w:t xml:space="preserve">Внимание! </w:t>
      </w:r>
      <w:r>
        <w:rPr>
          <w:rFonts w:cs="Times New Roman"/>
          <w:color w:val="000000"/>
          <w:sz w:val="22"/>
          <w:szCs w:val="22"/>
          <w:shd w:fill="auto" w:val="clear"/>
        </w:rPr>
        <w:t>Вся необходимая информации по документам и отправке детей представлена в Памятке для родителей</w:t>
        <w:br/>
        <w:t xml:space="preserve">и сопровождающих лиц </w:t>
      </w:r>
      <w:r>
        <w:rPr>
          <w:rFonts w:cs="Times New Roman"/>
          <w:i/>
          <w:iCs/>
          <w:color w:val="000000"/>
          <w:sz w:val="22"/>
          <w:szCs w:val="22"/>
          <w:shd w:fill="auto" w:val="clear"/>
        </w:rPr>
        <w:t>(предоставляется родителю (законному представителю) при выдаче путевок</w:t>
      </w:r>
      <w:r>
        <w:rPr>
          <w:rFonts w:cs="Times New Roman"/>
          <w:color w:val="000000"/>
          <w:sz w:val="22"/>
          <w:szCs w:val="22"/>
          <w:shd w:fill="auto" w:val="clear"/>
        </w:rPr>
        <w:t>).</w:t>
      </w:r>
    </w:p>
    <w:sectPr>
      <w:type w:val="nextPage"/>
      <w:pgSz w:w="11906" w:h="16838"/>
      <w:pgMar w:left="383" w:right="423" w:gutter="0" w:header="0" w:top="250" w:footer="0" w:bottom="25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Hyperlink"/>
    <w:basedOn w:val="DefaultParagraphFont"/>
    <w:rPr>
      <w:color w:val="0563C1"/>
      <w:u w:val="single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EndnoteTextChar" w:customStyle="1">
    <w:name w:val="Endnote Text Char"/>
    <w:qFormat/>
    <w:rPr>
      <w:sz w:val="20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basedOn w:val="DefaultParagraphFont"/>
    <w:qFormat/>
    <w:rPr>
      <w:sz w:val="24"/>
      <w:szCs w:val="24"/>
    </w:rPr>
  </w:style>
  <w:style w:type="character" w:styleId="TitleChar" w:customStyle="1">
    <w:name w:val="Title Char"/>
    <w:basedOn w:val="DefaultParagraphFont"/>
    <w:qFormat/>
    <w:rPr>
      <w:sz w:val="48"/>
      <w:szCs w:val="48"/>
    </w:rPr>
  </w:style>
  <w:style w:type="character" w:styleId="Heading9Char" w:customStyle="1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Heading8Char" w:customStyle="1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6Char" w:customStyle="1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5Char" w:customStyle="1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4Char" w:customStyle="1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3Char" w:customStyle="1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2Char" w:customStyle="1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1Char" w:customStyle="1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paragraph" w:styleId="Style8" w:customStyle="1">
    <w:name w:val="Заголовок"/>
    <w:basedOn w:val="Normal"/>
    <w:next w:val="Style9"/>
    <w:qFormat/>
    <w:pPr>
      <w:keepNext w:val="true"/>
      <w:spacing w:before="240" w:after="120"/>
    </w:pPr>
    <w:rPr>
      <w:rFonts w:eastAsia="Noto Sans CJK SC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Times New Roman" w:hAnsi="Times New Roman" w:cs="Lohit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Style8"/>
    <w:qFormat/>
    <w:pPr>
      <w:suppressLineNumbers/>
    </w:pPr>
    <w:rPr>
      <w:b/>
      <w:bCs/>
      <w:sz w:val="32"/>
      <w:szCs w:val="32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Tableoffigures">
    <w:name w:val="table of figures"/>
    <w:basedOn w:val="Normal"/>
    <w:qFormat/>
    <w:pPr/>
    <w:rPr/>
  </w:style>
  <w:style w:type="paragraph" w:styleId="Style13">
    <w:name w:val="Index Heading"/>
    <w:basedOn w:val="Style8"/>
    <w:pPr/>
    <w:rPr/>
  </w:style>
  <w:style w:type="paragraph" w:styleId="Style14">
    <w:name w:val="TOC Heading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91">
    <w:name w:val="TOC 9"/>
    <w:basedOn w:val="Normal"/>
    <w:pPr>
      <w:spacing w:before="0" w:after="57"/>
      <w:ind w:left="2268" w:hanging="0"/>
    </w:pPr>
    <w:rPr/>
  </w:style>
  <w:style w:type="paragraph" w:styleId="81">
    <w:name w:val="TOC 8"/>
    <w:basedOn w:val="Normal"/>
    <w:pPr>
      <w:spacing w:before="0" w:after="57"/>
      <w:ind w:left="1984" w:hanging="0"/>
    </w:pPr>
    <w:rPr/>
  </w:style>
  <w:style w:type="paragraph" w:styleId="71">
    <w:name w:val="TOC 7"/>
    <w:basedOn w:val="Normal"/>
    <w:pPr>
      <w:spacing w:before="0" w:after="57"/>
      <w:ind w:left="1701" w:hanging="0"/>
    </w:pPr>
    <w:rPr/>
  </w:style>
  <w:style w:type="paragraph" w:styleId="61">
    <w:name w:val="TOC 6"/>
    <w:basedOn w:val="Normal"/>
    <w:pPr>
      <w:spacing w:before="0" w:after="57"/>
      <w:ind w:left="1417" w:hanging="0"/>
    </w:pPr>
    <w:rPr/>
  </w:style>
  <w:style w:type="paragraph" w:styleId="51">
    <w:name w:val="TOC 5"/>
    <w:basedOn w:val="Normal"/>
    <w:pPr>
      <w:spacing w:before="0" w:after="57"/>
      <w:ind w:left="1134" w:hanging="0"/>
    </w:pPr>
    <w:rPr/>
  </w:style>
  <w:style w:type="paragraph" w:styleId="41">
    <w:name w:val="TOC 4"/>
    <w:basedOn w:val="Normal"/>
    <w:pPr>
      <w:spacing w:before="0" w:after="57"/>
      <w:ind w:left="850" w:hanging="0"/>
    </w:pPr>
    <w:rPr/>
  </w:style>
  <w:style w:type="paragraph" w:styleId="31">
    <w:name w:val="TOC 3"/>
    <w:basedOn w:val="Normal"/>
    <w:pPr>
      <w:spacing w:before="0" w:after="57"/>
      <w:ind w:left="567" w:hanging="0"/>
    </w:pPr>
    <w:rPr/>
  </w:style>
  <w:style w:type="paragraph" w:styleId="21">
    <w:name w:val="TOC 2"/>
    <w:basedOn w:val="Normal"/>
    <w:pPr>
      <w:spacing w:before="0" w:after="57"/>
      <w:ind w:left="283" w:hanging="0"/>
    </w:pPr>
    <w:rPr/>
  </w:style>
  <w:style w:type="paragraph" w:styleId="11">
    <w:name w:val="TOC 1"/>
    <w:basedOn w:val="Normal"/>
    <w:pPr>
      <w:spacing w:before="0" w:after="57"/>
    </w:pPr>
    <w:rPr/>
  </w:style>
  <w:style w:type="paragraph" w:styleId="Style15">
    <w:name w:val="Endnote Text"/>
    <w:basedOn w:val="Normal"/>
    <w:pPr/>
    <w:rPr>
      <w:sz w:val="20"/>
    </w:rPr>
  </w:style>
  <w:style w:type="paragraph" w:styleId="Style16">
    <w:name w:val="Footnote Text"/>
    <w:basedOn w:val="Normal"/>
    <w:pPr>
      <w:spacing w:before="0" w:after="40"/>
    </w:pPr>
    <w:rPr>
      <w:sz w:val="18"/>
    </w:rPr>
  </w:style>
  <w:style w:type="paragraph" w:styleId="Style17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8">
    <w:name w:val="Footer"/>
    <w:basedOn w:val="Normal"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Style19">
    <w:name w:val="Header"/>
    <w:basedOn w:val="Normal"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paragraph" w:styleId="Style20">
    <w:name w:val="Subtitle"/>
    <w:basedOn w:val="Normal"/>
    <w:qFormat/>
    <w:pPr>
      <w:spacing w:before="200" w:after="200"/>
    </w:pPr>
    <w:rPr/>
  </w:style>
  <w:style w:type="paragraph" w:styleId="Style21">
    <w:name w:val="Title"/>
    <w:basedOn w:val="Normal"/>
    <w:qFormat/>
    <w:pPr>
      <w:spacing w:before="300" w:after="200"/>
      <w:contextualSpacing/>
    </w:pPr>
    <w:rPr>
      <w:sz w:val="48"/>
      <w:szCs w:val="4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LibreOffice/7.4.0.3$Linux_X86_64 LibreOffice_project/f85e47c08ddd19c015c0114a68350214f7066f5a</Application>
  <AppVersion>15.0000</AppVersion>
  <Pages>1</Pages>
  <Words>671</Words>
  <Characters>4807</Characters>
  <CharactersWithSpaces>5464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2023-06-07T08:26:00Z</dcterms:created>
  <dc:creator>МА. Баращихина</dc:creator>
  <dc:description/>
  <dc:language>ru-RU</dc:language>
  <cp:lastModifiedBy/>
  <cp:lastPrinted>2025-01-28T13:12:05Z</cp:lastPrinted>
  <dcterms:modified xsi:type="dcterms:W3CDTF">2025-06-03T13:18:42Z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